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DB" w:rsidRPr="00396CDB" w:rsidRDefault="00396CDB" w:rsidP="00396CDB">
      <w:pPr>
        <w:shd w:val="clear" w:color="auto" w:fill="FFFFFF"/>
        <w:spacing w:after="0" w:line="280" w:lineRule="atLeast"/>
        <w:jc w:val="center"/>
        <w:rPr>
          <w:rFonts w:ascii="Verdana" w:eastAsia="Times New Roman" w:hAnsi="Verdana" w:cs="Times New Roman"/>
          <w:color w:val="222222"/>
          <w:sz w:val="24"/>
          <w:szCs w:val="24"/>
          <w:lang w:eastAsia="nl-NL"/>
        </w:rPr>
      </w:pPr>
      <w:bookmarkStart w:id="0" w:name="_GoBack"/>
      <w:bookmarkEnd w:id="0"/>
      <w:r w:rsidRPr="00396CDB">
        <w:rPr>
          <w:rFonts w:ascii="Verdana" w:eastAsia="Times New Roman" w:hAnsi="Verdana" w:cs="Arial"/>
          <w:b/>
          <w:bCs/>
          <w:i/>
          <w:iCs/>
          <w:color w:val="9A1B60"/>
          <w:sz w:val="28"/>
          <w:szCs w:val="28"/>
          <w:lang w:eastAsia="nl-NL"/>
        </w:rPr>
        <w:t> </w:t>
      </w:r>
    </w:p>
    <w:p w:rsidR="00396CDB" w:rsidRPr="00396CDB" w:rsidRDefault="00396CDB" w:rsidP="00396CDB">
      <w:pPr>
        <w:shd w:val="clear" w:color="auto" w:fill="FFFFFF"/>
        <w:spacing w:after="0" w:line="280" w:lineRule="atLeast"/>
        <w:jc w:val="center"/>
        <w:rPr>
          <w:rFonts w:ascii="Verdana" w:eastAsia="Times New Roman" w:hAnsi="Verdana" w:cs="Times New Roman"/>
          <w:color w:val="222222"/>
          <w:sz w:val="24"/>
          <w:szCs w:val="24"/>
          <w:lang w:eastAsia="nl-NL"/>
        </w:rPr>
      </w:pPr>
      <w:r w:rsidRPr="00396CDB">
        <w:rPr>
          <w:rFonts w:ascii="Verdana" w:eastAsia="Times New Roman" w:hAnsi="Verdana" w:cs="Arial"/>
          <w:b/>
          <w:bCs/>
          <w:i/>
          <w:iCs/>
          <w:color w:val="9A1B60"/>
          <w:sz w:val="24"/>
          <w:szCs w:val="24"/>
          <w:lang w:eastAsia="nl-NL"/>
        </w:rPr>
        <w:t>SAVE THE DATE</w:t>
      </w:r>
    </w:p>
    <w:p w:rsidR="00396CDB" w:rsidRPr="00396CDB" w:rsidRDefault="00396CDB" w:rsidP="00396CDB">
      <w:pPr>
        <w:shd w:val="clear" w:color="auto" w:fill="FFFFFF"/>
        <w:spacing w:after="0" w:line="240" w:lineRule="auto"/>
        <w:jc w:val="center"/>
        <w:rPr>
          <w:rFonts w:ascii="Verdana" w:eastAsia="Times New Roman" w:hAnsi="Verdana" w:cs="Times New Roman"/>
          <w:color w:val="222222"/>
          <w:sz w:val="24"/>
          <w:szCs w:val="24"/>
          <w:lang w:eastAsia="nl-NL"/>
        </w:rPr>
      </w:pPr>
      <w:r w:rsidRPr="00396CDB">
        <w:rPr>
          <w:rFonts w:ascii="Verdana" w:eastAsia="Times New Roman" w:hAnsi="Verdana" w:cs="Arial"/>
          <w:b/>
          <w:bCs/>
          <w:color w:val="9A1B60"/>
          <w:sz w:val="36"/>
          <w:szCs w:val="36"/>
          <w:lang w:eastAsia="nl-NL"/>
        </w:rPr>
        <w:t>Summerschool FiNNN: seksualiteit en seksuele stoornissen</w:t>
      </w:r>
      <w:r w:rsidRPr="00396CDB">
        <w:rPr>
          <w:rFonts w:ascii="Verdana" w:eastAsia="Times New Roman" w:hAnsi="Verdana" w:cs="Arial"/>
          <w:b/>
          <w:bCs/>
          <w:i/>
          <w:iCs/>
          <w:color w:val="9A1B60"/>
          <w:sz w:val="28"/>
          <w:szCs w:val="28"/>
          <w:lang w:eastAsia="nl-NL"/>
        </w:rPr>
        <w:br/>
      </w:r>
      <w:r w:rsidRPr="00396CDB">
        <w:rPr>
          <w:rFonts w:ascii="Verdana" w:eastAsia="Times New Roman" w:hAnsi="Verdana" w:cs="Arial"/>
          <w:b/>
          <w:bCs/>
          <w:i/>
          <w:iCs/>
          <w:color w:val="000000"/>
          <w:sz w:val="24"/>
          <w:szCs w:val="24"/>
          <w:lang w:eastAsia="nl-NL"/>
        </w:rPr>
        <w:t>Risicotaxatie, theorie en behandeling</w:t>
      </w:r>
    </w:p>
    <w:p w:rsidR="00396CDB" w:rsidRPr="00396CDB" w:rsidRDefault="00396CDB" w:rsidP="00396CDB">
      <w:pPr>
        <w:shd w:val="clear" w:color="auto" w:fill="FFFFFF"/>
        <w:spacing w:after="0" w:line="240" w:lineRule="auto"/>
        <w:rPr>
          <w:rFonts w:ascii="Verdana" w:eastAsia="Times New Roman" w:hAnsi="Verdana" w:cs="Times New Roman"/>
          <w:color w:val="222222"/>
          <w:sz w:val="24"/>
          <w:szCs w:val="24"/>
          <w:lang w:eastAsia="nl-NL"/>
        </w:rPr>
      </w:pPr>
      <w:r w:rsidRPr="00396CDB">
        <w:rPr>
          <w:rFonts w:ascii="Verdana" w:eastAsia="Times New Roman" w:hAnsi="Verdana" w:cs="Times New Roman"/>
          <w:color w:val="222222"/>
          <w:sz w:val="24"/>
          <w:szCs w:val="24"/>
          <w:lang w:eastAsia="nl-NL"/>
        </w:rPr>
        <w:t> </w:t>
      </w:r>
    </w:p>
    <w:p w:rsidR="00396CDB" w:rsidRPr="00396CDB" w:rsidRDefault="00396CDB" w:rsidP="00396CDB">
      <w:pPr>
        <w:shd w:val="clear" w:color="auto" w:fill="FFFFFF"/>
        <w:spacing w:after="0" w:line="240" w:lineRule="auto"/>
        <w:rPr>
          <w:rFonts w:ascii="Verdana" w:eastAsia="Times New Roman" w:hAnsi="Verdana" w:cs="Times New Roman"/>
          <w:color w:val="222222"/>
          <w:sz w:val="24"/>
          <w:szCs w:val="24"/>
          <w:lang w:eastAsia="nl-NL"/>
        </w:rPr>
      </w:pPr>
      <w:r w:rsidRPr="00396CDB">
        <w:rPr>
          <w:rFonts w:ascii="Verdana" w:eastAsia="Times New Roman" w:hAnsi="Verdana" w:cs="Arial"/>
          <w:i/>
          <w:iCs/>
          <w:color w:val="222222"/>
          <w:sz w:val="20"/>
          <w:szCs w:val="20"/>
          <w:lang w:eastAsia="nl-NL"/>
        </w:rPr>
        <w:t>Welke seksuele stoornissen zijn er? Hoe worden deze behandeld? En hoe ga je om met de seksualiteit van je patiënten? Tijdens de Summerschool over seksualiteit zal op vier donderdagen in september antwoord worden gegeven op deze en nog veel meer vragen. Deze Summerschool is bestemd voor werkers binnen de forensische GGZ, die te maken krijgen met de behandeling van patiënten die zijn veroordeeld vanwege een of meerdere seksueel delict(en).</w:t>
      </w:r>
    </w:p>
    <w:p w:rsidR="00396CDB" w:rsidRPr="00396CDB" w:rsidRDefault="00396CDB" w:rsidP="00396CDB">
      <w:pPr>
        <w:shd w:val="clear" w:color="auto" w:fill="FFFFFF"/>
        <w:spacing w:after="0" w:line="240" w:lineRule="auto"/>
        <w:rPr>
          <w:rFonts w:ascii="Verdana" w:eastAsia="Times New Roman" w:hAnsi="Verdana" w:cs="Times New Roman"/>
          <w:color w:val="222222"/>
          <w:sz w:val="24"/>
          <w:szCs w:val="24"/>
          <w:lang w:eastAsia="nl-NL"/>
        </w:rPr>
      </w:pPr>
      <w:r w:rsidRPr="00396CDB">
        <w:rPr>
          <w:rFonts w:ascii="Verdana" w:eastAsia="Times New Roman" w:hAnsi="Verdana" w:cs="Arial"/>
          <w:b/>
          <w:bCs/>
          <w:color w:val="222222"/>
          <w:sz w:val="20"/>
          <w:szCs w:val="20"/>
          <w:lang w:eastAsia="nl-NL"/>
        </w:rPr>
        <w:t>Docent: K.N.A. ’t Lam, klinisch psycholoog/ psychotherapeut</w:t>
      </w:r>
      <w:r w:rsidRPr="00396CDB">
        <w:rPr>
          <w:rFonts w:ascii="Verdana" w:eastAsia="Times New Roman" w:hAnsi="Verdana" w:cs="Arial"/>
          <w:b/>
          <w:bCs/>
          <w:color w:val="222222"/>
          <w:sz w:val="20"/>
          <w:szCs w:val="20"/>
          <w:lang w:eastAsia="nl-NL"/>
        </w:rPr>
        <w:br/>
        <w:t>Data: 5, 12, 19 en 26 september</w:t>
      </w:r>
      <w:r w:rsidRPr="00396CDB">
        <w:rPr>
          <w:rFonts w:ascii="Verdana" w:eastAsia="Times New Roman" w:hAnsi="Verdana" w:cs="Arial"/>
          <w:b/>
          <w:bCs/>
          <w:color w:val="222222"/>
          <w:sz w:val="20"/>
          <w:szCs w:val="20"/>
          <w:lang w:eastAsia="nl-NL"/>
        </w:rPr>
        <w:br/>
        <w:t>Tijd: 17.00 uur tot 19.00 uur</w:t>
      </w:r>
      <w:r w:rsidRPr="00396CDB">
        <w:rPr>
          <w:rFonts w:ascii="Verdana" w:eastAsia="Times New Roman" w:hAnsi="Verdana" w:cs="Arial"/>
          <w:b/>
          <w:bCs/>
          <w:color w:val="222222"/>
          <w:sz w:val="20"/>
          <w:szCs w:val="20"/>
          <w:lang w:eastAsia="nl-NL"/>
        </w:rPr>
        <w:br/>
        <w:t>Locatie: FPK, grote vergaderzaal </w:t>
      </w:r>
      <w:r w:rsidRPr="00396CDB">
        <w:rPr>
          <w:rFonts w:ascii="Verdana" w:eastAsia="Times New Roman" w:hAnsi="Verdana" w:cs="Arial"/>
          <w:b/>
          <w:bCs/>
          <w:color w:val="222222"/>
          <w:sz w:val="20"/>
          <w:szCs w:val="20"/>
          <w:lang w:eastAsia="nl-NL"/>
        </w:rPr>
        <w:br/>
        <w:t>Adres: Dennenweg 9, Assen</w:t>
      </w:r>
      <w:r w:rsidRPr="00396CDB">
        <w:rPr>
          <w:rFonts w:ascii="Verdana" w:eastAsia="Times New Roman" w:hAnsi="Verdana" w:cs="Arial"/>
          <w:b/>
          <w:bCs/>
          <w:color w:val="222222"/>
          <w:sz w:val="20"/>
          <w:szCs w:val="20"/>
          <w:lang w:eastAsia="nl-NL"/>
        </w:rPr>
        <w:br/>
      </w:r>
      <w:r w:rsidRPr="00396CDB">
        <w:rPr>
          <w:rFonts w:ascii="Verdana" w:eastAsia="Times New Roman" w:hAnsi="Verdana" w:cs="Arial"/>
          <w:color w:val="222222"/>
          <w:sz w:val="20"/>
          <w:szCs w:val="20"/>
          <w:lang w:eastAsia="nl-NL"/>
        </w:rPr>
        <w:br/>
      </w:r>
      <w:r w:rsidRPr="00396CDB">
        <w:rPr>
          <w:rFonts w:ascii="Verdana" w:eastAsia="Times New Roman" w:hAnsi="Verdana" w:cs="Arial"/>
          <w:b/>
          <w:bCs/>
          <w:color w:val="9A1B60"/>
          <w:sz w:val="24"/>
          <w:szCs w:val="24"/>
          <w:lang w:eastAsia="nl-NL"/>
        </w:rPr>
        <w:t>Inhoud</w:t>
      </w:r>
      <w:r w:rsidRPr="00396CDB">
        <w:rPr>
          <w:rFonts w:ascii="Verdana" w:eastAsia="Times New Roman" w:hAnsi="Verdana" w:cs="Arial"/>
          <w:b/>
          <w:bCs/>
          <w:color w:val="9A1B60"/>
          <w:sz w:val="20"/>
          <w:szCs w:val="20"/>
          <w:lang w:eastAsia="nl-NL"/>
        </w:rPr>
        <w:t> </w:t>
      </w:r>
      <w:r w:rsidRPr="00396CDB">
        <w:rPr>
          <w:rFonts w:ascii="Verdana" w:eastAsia="Times New Roman" w:hAnsi="Verdana" w:cs="Arial"/>
          <w:b/>
          <w:bCs/>
          <w:color w:val="9A1B60"/>
          <w:sz w:val="20"/>
          <w:szCs w:val="20"/>
          <w:lang w:eastAsia="nl-NL"/>
        </w:rPr>
        <w:br/>
      </w:r>
      <w:r w:rsidRPr="00396CDB">
        <w:rPr>
          <w:rFonts w:ascii="Verdana" w:eastAsia="Times New Roman" w:hAnsi="Verdana" w:cs="Arial"/>
          <w:color w:val="222222"/>
          <w:sz w:val="20"/>
          <w:szCs w:val="20"/>
          <w:lang w:eastAsia="nl-NL"/>
        </w:rPr>
        <w:t>Het uitgangspunt van de </w:t>
      </w:r>
      <w:r w:rsidRPr="00396CDB">
        <w:rPr>
          <w:rFonts w:ascii="Verdana" w:eastAsia="Times New Roman" w:hAnsi="Verdana" w:cs="Arial"/>
          <w:i/>
          <w:iCs/>
          <w:color w:val="222222"/>
          <w:sz w:val="20"/>
          <w:szCs w:val="20"/>
          <w:lang w:eastAsia="nl-NL"/>
        </w:rPr>
        <w:t>Summerschool </w:t>
      </w:r>
      <w:r w:rsidRPr="00396CDB">
        <w:rPr>
          <w:rFonts w:ascii="Verdana" w:eastAsia="Times New Roman" w:hAnsi="Verdana" w:cs="Arial"/>
          <w:color w:val="222222"/>
          <w:sz w:val="20"/>
          <w:szCs w:val="20"/>
          <w:lang w:eastAsia="nl-NL"/>
        </w:rPr>
        <w:t>is dat we vanuit verschillende (nieuwe) theoretische achtergronden kijken naar seksualiteit, seksuele stoornissen en de behandeling daarvan. Er wordt stilgestaan bij verschillende onderwerpen en thema’s zoals:.</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De </w:t>
      </w:r>
      <w:r w:rsidRPr="00396CDB">
        <w:rPr>
          <w:rFonts w:ascii="Verdana" w:eastAsia="Times New Roman" w:hAnsi="Verdana" w:cs="Arial"/>
          <w:i/>
          <w:iCs/>
          <w:color w:val="222222"/>
          <w:sz w:val="20"/>
          <w:szCs w:val="20"/>
          <w:lang w:eastAsia="nl-NL"/>
        </w:rPr>
        <w:t>what works</w:t>
      </w:r>
      <w:r w:rsidRPr="00396CDB">
        <w:rPr>
          <w:rFonts w:ascii="Verdana" w:eastAsia="Times New Roman" w:hAnsi="Verdana" w:cs="Arial"/>
          <w:color w:val="222222"/>
          <w:sz w:val="20"/>
          <w:szCs w:val="20"/>
          <w:lang w:eastAsia="nl-NL"/>
        </w:rPr>
        <w:t> principes;</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De dynamische risicofactoren die de behandelfocus bepalen;</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Risicotaxatie: plegers met een hoog risicoprofiel krijgen een intensievere behandeling dan plegers met een lager risicoprofiel;</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Het verschil tussen seksueel verlangen en seksueel plezier en de diverse controlesystemen;</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Inhibitie, conflict en verleiding;</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Ligt seksuele voorkeur vast of is er sprake van plasticiteit;</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Seksueel verlangen met empathie en agressie;</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Representaties met zowel de rol van fantasie als van beeldmateriaal;</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Seksverslaving en mogelijkheden voor behandeling;</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Ontstaan en werkingsmechanismen van diverse parafilieën en het verschil tussen parafilie en perversie;</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Verklaringsmodellen van seksueel geweld;</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De meest recente inzichten over daders van misbruik van kinderen;</w:t>
      </w:r>
    </w:p>
    <w:p w:rsidR="00396CDB" w:rsidRPr="00396CDB" w:rsidRDefault="00396CDB" w:rsidP="00396CDB">
      <w:pPr>
        <w:numPr>
          <w:ilvl w:val="0"/>
          <w:numId w:val="1"/>
        </w:numPr>
        <w:shd w:val="clear" w:color="auto" w:fill="FFFFFF"/>
        <w:spacing w:after="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De betekenis van seksualiteit binnen de therapeutische relatie en hoe dit bespreekbaar te maken;</w:t>
      </w:r>
    </w:p>
    <w:p w:rsidR="00396CDB" w:rsidRPr="00396CDB" w:rsidRDefault="00396CDB" w:rsidP="00396CDB">
      <w:pPr>
        <w:numPr>
          <w:ilvl w:val="0"/>
          <w:numId w:val="1"/>
        </w:numPr>
        <w:shd w:val="clear" w:color="auto" w:fill="FFFFFF"/>
        <w:spacing w:after="240" w:line="253" w:lineRule="atLeast"/>
        <w:ind w:left="1440"/>
        <w:rPr>
          <w:rFonts w:ascii="Verdana" w:eastAsia="Times New Roman" w:hAnsi="Verdana" w:cs="Calibri"/>
          <w:color w:val="222222"/>
          <w:lang w:eastAsia="nl-NL"/>
        </w:rPr>
      </w:pPr>
      <w:r w:rsidRPr="00396CDB">
        <w:rPr>
          <w:rFonts w:ascii="Verdana" w:eastAsia="Times New Roman" w:hAnsi="Verdana" w:cs="Arial"/>
          <w:color w:val="222222"/>
          <w:sz w:val="20"/>
          <w:szCs w:val="20"/>
          <w:lang w:eastAsia="nl-NL"/>
        </w:rPr>
        <w:t>De taken van de therapiegroep, bij overdracht en tegenoverdracht en de functie van de delictsscenario procedure. </w:t>
      </w:r>
    </w:p>
    <w:p w:rsidR="00396CDB" w:rsidRPr="00396CDB" w:rsidRDefault="00396CDB" w:rsidP="00396CDB">
      <w:pPr>
        <w:shd w:val="clear" w:color="auto" w:fill="FFFFFF"/>
        <w:spacing w:after="0" w:line="280" w:lineRule="atLeast"/>
        <w:rPr>
          <w:rFonts w:ascii="Verdana" w:eastAsia="Times New Roman" w:hAnsi="Verdana" w:cs="Times New Roman"/>
          <w:color w:val="222222"/>
          <w:sz w:val="24"/>
          <w:szCs w:val="24"/>
          <w:lang w:eastAsia="nl-NL"/>
        </w:rPr>
      </w:pPr>
      <w:r w:rsidRPr="00396CDB">
        <w:rPr>
          <w:rFonts w:ascii="Verdana" w:eastAsia="Times New Roman" w:hAnsi="Verdana" w:cs="Arial"/>
          <w:b/>
          <w:bCs/>
          <w:color w:val="9A1B60"/>
          <w:sz w:val="24"/>
          <w:szCs w:val="24"/>
          <w:lang w:eastAsia="nl-NL"/>
        </w:rPr>
        <w:t>Geïnteresseerd? Schrijf je in!</w:t>
      </w:r>
    </w:p>
    <w:p w:rsidR="00396CDB" w:rsidRDefault="00396CDB" w:rsidP="00396CDB">
      <w:pPr>
        <w:shd w:val="clear" w:color="auto" w:fill="FFFFFF"/>
        <w:spacing w:after="0" w:line="240" w:lineRule="auto"/>
        <w:ind w:right="-142"/>
        <w:rPr>
          <w:rFonts w:ascii="Verdana" w:eastAsia="Times New Roman" w:hAnsi="Verdana" w:cs="Arial"/>
          <w:color w:val="222222"/>
          <w:sz w:val="20"/>
          <w:szCs w:val="20"/>
          <w:lang w:eastAsia="nl-NL"/>
        </w:rPr>
      </w:pPr>
      <w:r w:rsidRPr="00396CDB">
        <w:rPr>
          <w:rFonts w:ascii="Verdana" w:eastAsia="Times New Roman" w:hAnsi="Verdana" w:cs="Arial"/>
          <w:color w:val="222222"/>
          <w:sz w:val="20"/>
          <w:szCs w:val="20"/>
          <w:lang w:eastAsia="nl-NL"/>
        </w:rPr>
        <w:t>Vanaf </w:t>
      </w:r>
      <w:r w:rsidRPr="00396CDB">
        <w:rPr>
          <w:rFonts w:ascii="Verdana" w:eastAsia="Times New Roman" w:hAnsi="Verdana" w:cs="Arial"/>
          <w:color w:val="222222"/>
          <w:sz w:val="20"/>
          <w:szCs w:val="20"/>
          <w:u w:val="single"/>
          <w:lang w:eastAsia="nl-NL"/>
        </w:rPr>
        <w:t>maandag 10 juni 2019</w:t>
      </w:r>
      <w:r w:rsidRPr="00396CDB">
        <w:rPr>
          <w:rFonts w:ascii="Verdana" w:eastAsia="Times New Roman" w:hAnsi="Verdana" w:cs="Arial"/>
          <w:color w:val="222222"/>
          <w:sz w:val="20"/>
          <w:szCs w:val="20"/>
          <w:lang w:eastAsia="nl-NL"/>
        </w:rPr>
        <w:t> kunt u zich inschrijven. U doet dit door een mail te sturen naar </w:t>
      </w:r>
      <w:hyperlink r:id="rId6" w:tgtFrame="_blank" w:history="1">
        <w:r w:rsidRPr="00396CDB">
          <w:rPr>
            <w:rFonts w:ascii="Verdana" w:eastAsia="Times New Roman" w:hAnsi="Verdana" w:cs="Arial"/>
            <w:color w:val="1155CC"/>
            <w:sz w:val="20"/>
            <w:szCs w:val="20"/>
            <w:u w:val="single"/>
            <w:lang w:eastAsia="nl-NL"/>
          </w:rPr>
          <w:t>Alice Jobing</w:t>
        </w:r>
      </w:hyperlink>
      <w:r w:rsidRPr="00396CDB">
        <w:rPr>
          <w:rFonts w:ascii="Verdana" w:eastAsia="Times New Roman" w:hAnsi="Verdana" w:cs="Arial"/>
          <w:color w:val="222222"/>
          <w:sz w:val="20"/>
          <w:szCs w:val="20"/>
          <w:lang w:eastAsia="nl-NL"/>
        </w:rPr>
        <w:t xml:space="preserve">, secretariaatmedewerker van FiNNN. Er is een maximum van </w:t>
      </w:r>
      <w:r>
        <w:rPr>
          <w:rFonts w:ascii="Verdana" w:eastAsia="Times New Roman" w:hAnsi="Verdana" w:cs="Arial"/>
          <w:color w:val="222222"/>
          <w:sz w:val="20"/>
          <w:szCs w:val="20"/>
          <w:lang w:eastAsia="nl-NL"/>
        </w:rPr>
        <w:t xml:space="preserve">25 </w:t>
      </w:r>
      <w:r w:rsidRPr="00396CDB">
        <w:rPr>
          <w:rFonts w:ascii="Verdana" w:eastAsia="Times New Roman" w:hAnsi="Verdana" w:cs="Arial"/>
          <w:color w:val="222222"/>
          <w:sz w:val="20"/>
          <w:szCs w:val="20"/>
          <w:lang w:eastAsia="nl-NL"/>
        </w:rPr>
        <w:t>mensen welke aan de training kunnen deelnemen. Inschrijving vindt plaats op basis van aanmelding. </w:t>
      </w:r>
    </w:p>
    <w:p w:rsidR="00396CDB" w:rsidRPr="00396CDB" w:rsidRDefault="00396CDB" w:rsidP="00396CDB">
      <w:pPr>
        <w:shd w:val="clear" w:color="auto" w:fill="FFFFFF"/>
        <w:spacing w:after="0" w:line="240" w:lineRule="auto"/>
        <w:rPr>
          <w:rFonts w:ascii="Verdana" w:eastAsia="Times New Roman" w:hAnsi="Verdana" w:cs="Times New Roman"/>
          <w:color w:val="222222"/>
          <w:sz w:val="24"/>
          <w:szCs w:val="24"/>
          <w:lang w:eastAsia="nl-NL"/>
        </w:rPr>
      </w:pPr>
    </w:p>
    <w:p w:rsidR="00396CDB" w:rsidRPr="00396CDB" w:rsidRDefault="00396CDB" w:rsidP="00396CDB">
      <w:pPr>
        <w:shd w:val="clear" w:color="auto" w:fill="FFFFFF"/>
        <w:spacing w:after="0" w:line="280" w:lineRule="atLeast"/>
        <w:rPr>
          <w:rFonts w:ascii="Verdana" w:eastAsia="Times New Roman" w:hAnsi="Verdana" w:cs="Times New Roman"/>
          <w:color w:val="222222"/>
          <w:sz w:val="24"/>
          <w:szCs w:val="24"/>
          <w:lang w:eastAsia="nl-NL"/>
        </w:rPr>
      </w:pPr>
      <w:r w:rsidRPr="00396CDB">
        <w:rPr>
          <w:rFonts w:ascii="Verdana" w:eastAsia="Times New Roman" w:hAnsi="Verdana" w:cs="Arial"/>
          <w:b/>
          <w:bCs/>
          <w:color w:val="9A1B60"/>
          <w:sz w:val="24"/>
          <w:szCs w:val="24"/>
          <w:lang w:eastAsia="nl-NL"/>
        </w:rPr>
        <w:t>Wij zijn FiNNN</w:t>
      </w:r>
    </w:p>
    <w:p w:rsidR="00396CDB" w:rsidRPr="00396CDB" w:rsidRDefault="00396CDB" w:rsidP="00396CDB">
      <w:pPr>
        <w:shd w:val="clear" w:color="auto" w:fill="FFFFFF"/>
        <w:spacing w:after="0" w:line="280" w:lineRule="atLeast"/>
        <w:rPr>
          <w:rFonts w:ascii="Verdana" w:eastAsia="Times New Roman" w:hAnsi="Verdana" w:cs="Times New Roman"/>
          <w:color w:val="222222"/>
          <w:sz w:val="24"/>
          <w:szCs w:val="24"/>
          <w:lang w:eastAsia="nl-NL"/>
        </w:rPr>
      </w:pPr>
      <w:r w:rsidRPr="00396CDB">
        <w:rPr>
          <w:rFonts w:ascii="Verdana" w:eastAsia="Times New Roman" w:hAnsi="Verdana" w:cs="Arial"/>
          <w:color w:val="222222"/>
          <w:sz w:val="20"/>
          <w:szCs w:val="20"/>
          <w:lang w:eastAsia="nl-NL"/>
        </w:rPr>
        <w:t xml:space="preserve">Het Forensisch innovatie Netwerk Noord Nederland (FiNNN) is een samenwerking van GGZ Friesland, Lentis, Van Mesdagkliniek, GGZ Drenthe, VNN en Trajectum. Samen </w:t>
      </w:r>
      <w:r w:rsidRPr="00396CDB">
        <w:rPr>
          <w:rFonts w:ascii="Verdana" w:eastAsia="Times New Roman" w:hAnsi="Verdana" w:cs="Arial"/>
          <w:color w:val="222222"/>
          <w:sz w:val="20"/>
          <w:szCs w:val="20"/>
          <w:lang w:eastAsia="nl-NL"/>
        </w:rPr>
        <w:lastRenderedPageBreak/>
        <w:t>werken we aan het bevorderen van de ketenzorg, deskundigheidsbevordering en onderzoek. We bedenken niet iets nieuws, maar sluiten zowel mogelijk aan bij bestaande ontwikkelingen. Met wisselend succes maken we vorderingen, waarbij we onze ambitie – betere zorg aan patiënten/cliënten – niet uit het oog verliezen. Deze aanpak biedt geen garantie voor aansprekende successen op de korte termijn, maar naar onze overtuiging wel voor een stevig fundament waar verdere samenwerking opgebouwd kan worden.</w:t>
      </w:r>
    </w:p>
    <w:p w:rsidR="00396CDB" w:rsidRPr="00396CDB" w:rsidRDefault="00396CDB" w:rsidP="00396CDB">
      <w:pPr>
        <w:shd w:val="clear" w:color="auto" w:fill="FFFFFF"/>
        <w:spacing w:after="0" w:line="280" w:lineRule="atLeast"/>
        <w:rPr>
          <w:rFonts w:ascii="Verdana" w:eastAsia="Times New Roman" w:hAnsi="Verdana" w:cs="Times New Roman"/>
          <w:color w:val="222222"/>
          <w:sz w:val="24"/>
          <w:szCs w:val="24"/>
          <w:lang w:eastAsia="nl-NL"/>
        </w:rPr>
      </w:pPr>
      <w:r w:rsidRPr="00396CDB">
        <w:rPr>
          <w:rFonts w:ascii="Verdana" w:eastAsia="Times New Roman" w:hAnsi="Verdana" w:cs="Arial"/>
          <w:color w:val="222222"/>
          <w:sz w:val="20"/>
          <w:szCs w:val="20"/>
          <w:lang w:eastAsia="nl-NL"/>
        </w:rPr>
        <w:t> </w:t>
      </w:r>
    </w:p>
    <w:p w:rsidR="00396CDB" w:rsidRPr="00396CDB" w:rsidRDefault="00396CDB" w:rsidP="00396CDB">
      <w:pPr>
        <w:shd w:val="clear" w:color="auto" w:fill="FFFFFF"/>
        <w:spacing w:after="0" w:line="280" w:lineRule="atLeast"/>
        <w:rPr>
          <w:rFonts w:ascii="Verdana" w:eastAsia="Times New Roman" w:hAnsi="Verdana" w:cs="Times New Roman"/>
          <w:color w:val="222222"/>
          <w:sz w:val="24"/>
          <w:szCs w:val="24"/>
          <w:lang w:eastAsia="nl-NL"/>
        </w:rPr>
      </w:pPr>
      <w:r w:rsidRPr="00396CDB">
        <w:rPr>
          <w:rFonts w:ascii="Verdana" w:eastAsia="Times New Roman" w:hAnsi="Verdana" w:cs="Arial"/>
          <w:b/>
          <w:bCs/>
          <w:color w:val="9A1B60"/>
          <w:sz w:val="24"/>
          <w:szCs w:val="24"/>
          <w:lang w:eastAsia="nl-NL"/>
        </w:rPr>
        <w:t>Meer weten over FiNNN?</w:t>
      </w:r>
      <w:r w:rsidRPr="00396CDB">
        <w:rPr>
          <w:rFonts w:ascii="Verdana" w:eastAsia="Times New Roman" w:hAnsi="Verdana" w:cs="Arial"/>
          <w:color w:val="222222"/>
          <w:sz w:val="24"/>
          <w:szCs w:val="24"/>
          <w:lang w:eastAsia="nl-NL"/>
        </w:rPr>
        <w:br/>
      </w:r>
      <w:r w:rsidRPr="00396CDB">
        <w:rPr>
          <w:rFonts w:ascii="Verdana" w:eastAsia="Times New Roman" w:hAnsi="Verdana" w:cs="Arial"/>
          <w:color w:val="222222"/>
          <w:sz w:val="20"/>
          <w:szCs w:val="20"/>
          <w:lang w:eastAsia="nl-NL"/>
        </w:rPr>
        <w:t>De komende tijd zullen we verder gaan bouwen aan FiNNN. Zowel aan de zichtbaarheid van het netwerk als de inhoudelijke kennis van de leden van FiNNN. Wilt u de nieuwsbrief met alle ontwikkelingen ontvangen? Stuur dan een mail naar </w:t>
      </w:r>
      <w:hyperlink r:id="rId7" w:tgtFrame="_blank" w:history="1">
        <w:r w:rsidRPr="00396CDB">
          <w:rPr>
            <w:rFonts w:ascii="Verdana" w:eastAsia="Times New Roman" w:hAnsi="Verdana" w:cs="Arial"/>
            <w:color w:val="1155CC"/>
            <w:sz w:val="20"/>
            <w:szCs w:val="20"/>
            <w:u w:val="single"/>
            <w:lang w:eastAsia="nl-NL"/>
          </w:rPr>
          <w:t>pr@ggzfriesland.nl</w:t>
        </w:r>
      </w:hyperlink>
      <w:r w:rsidRPr="00396CDB">
        <w:rPr>
          <w:rFonts w:ascii="Verdana" w:eastAsia="Times New Roman" w:hAnsi="Verdana" w:cs="Arial"/>
          <w:color w:val="222222"/>
          <w:sz w:val="20"/>
          <w:szCs w:val="20"/>
          <w:lang w:eastAsia="nl-NL"/>
        </w:rPr>
        <w:t>.</w:t>
      </w:r>
    </w:p>
    <w:p w:rsidR="00396CDB" w:rsidRPr="00396CDB" w:rsidRDefault="00396CDB" w:rsidP="00396CDB">
      <w:pPr>
        <w:shd w:val="clear" w:color="auto" w:fill="FFFFFF"/>
        <w:spacing w:after="0" w:line="280" w:lineRule="atLeast"/>
        <w:rPr>
          <w:rFonts w:ascii="Times New Roman" w:eastAsia="Times New Roman" w:hAnsi="Times New Roman" w:cs="Times New Roman"/>
          <w:color w:val="222222"/>
          <w:sz w:val="24"/>
          <w:szCs w:val="24"/>
          <w:lang w:eastAsia="nl-NL"/>
        </w:rPr>
      </w:pPr>
      <w:r w:rsidRPr="00396CDB">
        <w:rPr>
          <w:rFonts w:ascii="Arial" w:eastAsia="Times New Roman" w:hAnsi="Arial" w:cs="Arial"/>
          <w:color w:val="222222"/>
          <w:sz w:val="20"/>
          <w:szCs w:val="20"/>
          <w:lang w:eastAsia="nl-NL"/>
        </w:rPr>
        <w:t> </w:t>
      </w:r>
    </w:p>
    <w:p w:rsidR="00396CDB" w:rsidRPr="00396CDB" w:rsidRDefault="00396CDB" w:rsidP="00396CDB">
      <w:pPr>
        <w:shd w:val="clear" w:color="auto" w:fill="FFFFFF"/>
        <w:spacing w:after="0" w:line="240" w:lineRule="auto"/>
        <w:rPr>
          <w:rFonts w:ascii="Times New Roman" w:eastAsia="Times New Roman" w:hAnsi="Times New Roman" w:cs="Times New Roman"/>
          <w:color w:val="222222"/>
          <w:sz w:val="24"/>
          <w:szCs w:val="24"/>
          <w:lang w:eastAsia="nl-NL"/>
        </w:rPr>
      </w:pPr>
      <w:r w:rsidRPr="00396CDB">
        <w:rPr>
          <w:rFonts w:ascii="Times New Roman" w:eastAsia="Times New Roman" w:hAnsi="Times New Roman" w:cs="Times New Roman"/>
          <w:noProof/>
          <w:color w:val="222222"/>
          <w:sz w:val="24"/>
          <w:szCs w:val="24"/>
          <w:lang w:eastAsia="nl-NL"/>
        </w:rPr>
        <mc:AlternateContent>
          <mc:Choice Requires="wps">
            <w:drawing>
              <wp:anchor distT="0" distB="0" distL="114300" distR="114300" simplePos="0" relativeHeight="251659264" behindDoc="0" locked="0" layoutInCell="1" allowOverlap="0" wp14:anchorId="2B7EB977" wp14:editId="379DDC81">
                <wp:simplePos x="0" y="0"/>
                <wp:positionH relativeFrom="column">
                  <wp:align>left</wp:align>
                </wp:positionH>
                <wp:positionV relativeFrom="line">
                  <wp:posOffset>0</wp:posOffset>
                </wp:positionV>
                <wp:extent cx="1628775" cy="1628775"/>
                <wp:effectExtent l="0" t="0" r="0" b="0"/>
                <wp:wrapSquare wrapText="bothSides"/>
                <wp:docPr id="1" name="AutoShape 2" descr="https://mail.google.com/mail/u/0?ui=2&amp;ik=e348cffb17&amp;attid=0.3&amp;permmsgid=msg-f:1633149669852756674&amp;th=16aa1cf8d09ebac2&amp;view=fimg&amp;sz=s0-l75-ft&amp;attbid=ANGjdJ8NvlFRWe6NP0TKkLE_55O3hAclR_zL-RecyMDdfM7bEhJJZoJdweJEvvpTj9DpUbr6Pm-RcwRaiipXMuTTc9W0x8YzNZIv6jpGs2waidmV9J1Ai77LnqBIGf4&amp;disp=e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mail.google.com/mail/u/0?ui=2&amp;ik=e348cffb17&amp;attid=0.3&amp;permmsgid=msg-f:1633149669852756674&amp;th=16aa1cf8d09ebac2&amp;view=fimg&amp;sz=s0-l75-ft&amp;attbid=ANGjdJ8NvlFRWe6NP0TKkLE_55O3hAclR_zL-RecyMDdfM7bEhJJZoJdweJEvvpTj9DpUbr6Pm-RcwRaiipXMuTTc9W0x8YzNZIv6jpGs2waidmV9J1Ai77LnqBIGf4&amp;disp=emb" style="position:absolute;margin-left:0;margin-top:0;width:128.25pt;height:128.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" o:allowoverlap="f" filled="f" stroked="f">
                <o:lock v:ext="edit" aspectratio="t"/>
                <w10:wrap type="square" anchory="line"/>
              </v:rect>
            </w:pict>
          </mc:Fallback>
        </mc:AlternateContent>
      </w:r>
      <w:r w:rsidRPr="00396CDB">
        <w:rPr>
          <w:rFonts w:ascii="Times New Roman" w:eastAsia="Times New Roman" w:hAnsi="Times New Roman" w:cs="Times New Roman"/>
          <w:color w:val="222222"/>
          <w:sz w:val="24"/>
          <w:szCs w:val="24"/>
          <w:lang w:eastAsia="nl-NL"/>
        </w:rPr>
        <w:t> </w:t>
      </w:r>
    </w:p>
    <w:p w:rsidR="00396CDB" w:rsidRPr="00396CDB" w:rsidRDefault="00396CDB" w:rsidP="00396CDB">
      <w:pPr>
        <w:shd w:val="clear" w:color="auto" w:fill="FFFFFF"/>
        <w:spacing w:after="0" w:line="240" w:lineRule="auto"/>
        <w:rPr>
          <w:rFonts w:ascii="Times New Roman" w:eastAsia="Times New Roman" w:hAnsi="Times New Roman" w:cs="Times New Roman"/>
          <w:color w:val="222222"/>
          <w:sz w:val="24"/>
          <w:szCs w:val="24"/>
          <w:lang w:eastAsia="nl-NL"/>
        </w:rPr>
      </w:pPr>
    </w:p>
    <w:p w:rsidR="00396CDB" w:rsidRPr="00396CDB" w:rsidRDefault="00396CDB" w:rsidP="00396CDB">
      <w:pPr>
        <w:shd w:val="clear" w:color="auto" w:fill="FFFFFF"/>
        <w:spacing w:after="0" w:line="240" w:lineRule="auto"/>
        <w:rPr>
          <w:rFonts w:ascii="Arial" w:eastAsia="Times New Roman" w:hAnsi="Arial" w:cs="Arial"/>
          <w:color w:val="222222"/>
          <w:sz w:val="24"/>
          <w:szCs w:val="24"/>
          <w:lang w:eastAsia="nl-NL"/>
        </w:rPr>
      </w:pPr>
    </w:p>
    <w:p w:rsidR="00175AB2" w:rsidRDefault="009740FB"/>
    <w:sectPr w:rsidR="00175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97540"/>
    <w:multiLevelType w:val="multilevel"/>
    <w:tmpl w:val="BE1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DB"/>
    <w:rsid w:val="00396CDB"/>
    <w:rsid w:val="0040409B"/>
    <w:rsid w:val="00883E7E"/>
    <w:rsid w:val="00974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4304">
      <w:bodyDiv w:val="1"/>
      <w:marLeft w:val="0"/>
      <w:marRight w:val="0"/>
      <w:marTop w:val="0"/>
      <w:marBottom w:val="0"/>
      <w:divBdr>
        <w:top w:val="none" w:sz="0" w:space="0" w:color="auto"/>
        <w:left w:val="none" w:sz="0" w:space="0" w:color="auto"/>
        <w:bottom w:val="none" w:sz="0" w:space="0" w:color="auto"/>
        <w:right w:val="none" w:sz="0" w:space="0" w:color="auto"/>
      </w:divBdr>
      <w:divsChild>
        <w:div w:id="249704181">
          <w:marLeft w:val="0"/>
          <w:marRight w:val="0"/>
          <w:marTop w:val="0"/>
          <w:marBottom w:val="0"/>
          <w:divBdr>
            <w:top w:val="none" w:sz="0" w:space="0" w:color="auto"/>
            <w:left w:val="none" w:sz="0" w:space="0" w:color="auto"/>
            <w:bottom w:val="none" w:sz="0" w:space="0" w:color="auto"/>
            <w:right w:val="none" w:sz="0" w:space="0" w:color="auto"/>
          </w:divBdr>
        </w:div>
        <w:div w:id="202343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ggz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e.Jobing@ggzdrenthe.nl?subject=Aanmelding%20Summersch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8FF584C8.dotm</Template>
  <TotalTime>1</TotalTime>
  <Pages>2</Pages>
  <Words>520</Words>
  <Characters>2863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SSC ICT Espria</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 van velzen</dc:creator>
  <cp:lastModifiedBy>Greidanus, Klaas</cp:lastModifiedBy>
  <cp:revision>2</cp:revision>
  <dcterms:created xsi:type="dcterms:W3CDTF">2019-07-18T09:48:00Z</dcterms:created>
  <dcterms:modified xsi:type="dcterms:W3CDTF">2019-07-18T09:48:00Z</dcterms:modified>
</cp:coreProperties>
</file>